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230</w:t>
      </w:r>
    </w:p>
    <w:p>
      <w:r>
        <w:t>Bundesgericht (BGE), 2002-01-01, FR</w:t>
      </w:r>
    </w:p>
    <w:p>
      <w:r>
        <w:rPr>
          <w:b/>
        </w:rPr>
        <w:t xml:space="preserve">Quelle: </w:t>
      </w:r>
      <w:r>
        <w:t>https://mcp.opencaselaw.ch/entscheid/bge_128 V 230</w:t>
      </w:r>
    </w:p>
    <w:p>
      <w:r>
        <w:t>FR: ATF 128 V 230</w:t>
      </w:r>
    </w:p>
    <w:p>
      <w:r>
        <w:t>IT: DTF 128 V 230</w:t>
      </w:r>
    </w:p>
    <w:p>
      <w:pPr>
        <w:pStyle w:val="Heading2"/>
      </w:pPr>
      <w:r>
        <w:t>Regeste</w:t>
      </w:r>
    </w:p>
    <w:p>
      <w:r>
        <w:t>Regeste Art. 122 ZGB; Art. 22 Abs. 1 und 2 FZG; Art. 30c Abs. 6 BVG: Berücksichtigung eines Vorbezugs bei der Teilung der Austrittsleistung nach Scheidung. Art. 30c Abs. 6 BVG betrifft den Vorbezug bei einer Scheidung der Ehegatten vor Eintritt eines Vorsorgefalles. Bei einer Auslegung nach Wortlaut, Sinn und Zweck des Gesetzes gelangt diese Gesetzesbestimmung auch zur Anwendung, wenn die Mittel der beruflichen Vorsorge schon vor der Heirat für einen Vorbezug verwendet wurden. Der Vorbezug zwecks Erwerb von Wohneigentum, dessen Nominalwert bis zur Scheidung erhalten bleibt, führt nicht zu Zinsen im Sinne von Art. 22 Abs. 2 Satz 2 FZG.</w:t>
      </w:r>
    </w:p>
    <w:p>
      <w:pPr>
        <w:pStyle w:val="Heading2"/>
      </w:pPr>
      <w:r>
        <w:t>Erwägungen</w:t>
      </w:r>
    </w:p>
    <w:p>
      <w:r>
        <w:rPr>
          <w:b/>
        </w:rPr>
        <w:t>E. 1</w:t>
      </w:r>
    </w:p>
    <w:p>
      <w:r>
        <w:t>a) L' art. 25a LFLP , entré en vigueur le 1er janvier 2000, règle la procédure en cas de divorce. En cas de désaccord des conjoints sur la prestation de sortie à partager en cas de divorce ( art. 122 et 123 CC ), le juge du lieu du divorce compétent au sens de l' art. 73 al. 1 LPP doit, après que l'affaire lui a été transmise ( art. 142 CC ), exécuter d'office le partage sur la base de la clé de répartition déterminée par le juge du divorce (al. 1). Les conjoints et les institutions de prévoyance professionnelle ont qualité de partie dans cette procédure. Le juge leur impartit un délai raisonnable pour déposer leurs conclusions (al. 2). Le terme d'institution de prévoyance professionnelle recouvre les institutions de prévoyance et celles de libre passage (Message du Conseil fédéral du 15 novembre 1995 concernant la révision du code civil suisse [FF 1996 I 105]. En l'occurrence, le juge des assurances a été saisi en application de l' art. 142 al. 2 CC . Les conjoints, la Caisse de pensions et la Fondation de libre passage de la Banque X. avaient qualité de partie dans la procédure. En l'absence de contestation, le premier juge, statuant comme juge unique sur la base du dossier, a procédé au partage des prestations de sortie après divorce (art. 55d LTA, entré en vigueur le 1er janvier 2000 [RSV 2.2]; novelle du 8 novembre 1999 [Recueil annuel de la législation vaudoise, éd. 1999, p. 645]). Le montant de la prévoyance à partager est contesté devant la Cour BGE 128 V 230 S. 233 de céans. Le litige porte sur le point de savoir si c'est à juste titre que le juge de première instance, se fondant sur l' art. 30c al. 6 LPP , a pris en compte le versement anticipé du 31 juillet 1995 dans le calcul de la prestation de sortie du recourant. La compétence des autorités juridictionnelles mentionnées à l' art. 25a al. 1 LFLP et à l' art. 73 LPP est donc donnée (message précité du Conseil fédéral [FF 1996 I 114 et 115]; SCHNEIDER/BRUCHEZ, La prévoyance professionnelle et le divorce, in: Le nouveau droit du divorce, Lausanne 2000, p. 250 ss [Travaux de la Journée d'étude organisée le 8 septembre 1999 à l'Université de Lausanne, publication CEDIDAC 41]) et le recours de droit administratif est recevable de ce chef. b) 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2</w:t>
      </w:r>
    </w:p>
    <w:p>
      <w:r>
        <w:t>Pour résoudre le litige, il faut rechercher en premier lieu le but et le sens de l' art. 30c al. 6 LPP . 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126 II 80 consid. 6d, ATF 126 III 104 consid. 2c, ATF 126 V 58 consid. 3, 105 consid. 3 et les références). b) Introduit dans la loi par la novelle du 17 décembre 1993 sur l'encouragement à la propriété du logement au moyen de la prévoyance professionnelle (révision partielle de la LPP et du CO), en vigueur depuis le 1er janvier 1995 (RO 1994 III 2372), l' art. 30c LPP règle le versement anticipé. BGE 128 V 230 S. 234 Selon l' art. 30c al. 6 LPP (nouvelle teneur depuis le 1er janvier 2000, date de l'entrée en vigueur de la modification du code civil du 26 juin 1998 [RO 1999 I 1118]), lorsque les époux divorcent avant la survenance d'un cas de prévoyance, le versement anticipé est considéré comme une prestation de libre passage et est partagé conformément aux art. 122, 123 et 141 CC , et à l' art. 22 LFLP . c) L' art. 30c al. 6 LPP règle le versement anticipé lorsque les époux divorcent avant la survenance d'un cas de prévoyance. Les moyens de la prévoyance professionnelle utilisés pour acquérir un logement demeurent liés à un but de prévoyance. Lorsque, au moment du divorce, aucun cas de prévoyance n'est encore survenu pour le preneur d'assurance, ces fonds liés investis dans le logement doivent être partagés selon les art. 122 et 123 CC (Message du Conseil fédéral du 15 novembre 1995 concernant la révision du code civil suisse [FF 1996 I 113]). Interprété conformément à la lettre, au but et au sens de la loi, l' art. 30c al. 6 LPP s'applique donc aussi dans le cas où les moyens de la prévoyance professionnelle ont servi au versement anticipé avant le mariage. En effet, ces fonds demeurant liés à un but de prévoyance, ils ne reviennent pas au patrimoine à partager selon les règles du régime matrimonial (THOMAS GEISER, Le nouveau droit du divorce et les droits en matière de prévoyance professionnelle, in: De l'ancien au nouveau droit du divorce, Berne 1999, p. 73). Lorsqu'il y a divorce avant la survenance d'un cas de prévoyance, le versement anticipé antérieur au mariage est également considéré comme une prestation de libre passage et doit dès lors être partagé conformément aux art. 122, 123 et 141 CC , et à l' art. 22 LFLP .</w:t>
      </w:r>
    </w:p>
    <w:p>
      <w:r>
        <w:rPr>
          <w:b/>
        </w:rPr>
        <w:t>E. 3</w:t>
      </w:r>
    </w:p>
    <w:p>
      <w:r>
        <w:t>Il est dès lors nécessaire de déterminer le partage du versement anticipé. a) Aux termes de l' art. 122 CC ,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(al. 1). Lorsque les conjoints ont des créances réciproques, seule la différence entre ces deux créances doit être partagée (al. 2). Selon l' art. 22 LFLP (nouvelle teneur en vigueur depuis le 1er janvier 2000), en cas de divorce, les prestations de sortie acquises durant le mariage sont partagées conformément aux art. 122, 123, 141 et 142 CC; les art. 3 à 5 LFLP s'appliquent par analogie au BGE 128 V 230 S. 235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 Pour ce calcul, on ajoute à la prestation de sortie et à l'avoir de libre passage existant au moment de la conclusion du mariage les intérêts dus au moment du divorce. Les paiements en espèces effectués durant le mariage ne sont pas pris en compte (al. 2). b) Selon le jugement attaqué, le versement anticipé doit être partagé par la moitié ( art. 122 al. 1 CC ) et le solde porté en compte dans la prestation de sortie à partager ( art. 22 al. 2 LFLP ). Ce double partage n'est toutefois pas prévu par la loi. Le nouveau droit du divorce exige que soit déterminée quelle est la prestation de sortie acquise durant le mariage (message précité du Conseil fédéral [FF 1996 I 109]). En vertu du renvoi de l' art. 30c al. 6 LPP aux art. 122 CC et 22 LFLP, le versement anticipé ne saurait être partagé séparément, mais doit être pris en compte dans le calcul de la prestation de sortie à partager. Dans ce calcul, le montant du versement anticipé qui fait encore l'objet d'une obligation de remboursement au moment du divorce est à comptabiliser dans la prestation de sortie au moment du divorce (GEISER, op.cit., p. 73; SCHNEIDER/BRUCHEZ, op.cit., p. 229 sv.). De la même manière, et conformément à l' art. 22 al. 2 LFLP , est ajoutée à la prestation de sortie existant au moment de la conclusion du mariage le versement anticipé considéré comme prestation de libre passage ( art. 30c al. 6 LPP ). c) A la différence de la prestation de sortie, le versement anticipé pour l'acquisition d'un logement conserve sa valeur nominale jusqu'au divorce (GEISER, op.cit., p. 73; SCHNEIDER/BRUCHEZ, op.cit., p. 230). Il ne produit donc pas d'intérêts au sens de l'art. 22 al. 2 deuxième phrase LFLP. En effet, ces intérêts, échus durant le mariage et qui profitent au conjoint affilié à l'institution de prévoyance, sont destinés à compenser l'inflation (message précité du Conseil fédéral [FF 1996 I 110]; voir aussi ROLF BRUNNER, Die Berücksichtigung von Vorbezügen für Wohneigentum bei der Teilung der Austrittsleistung nach Art. 122 ZGB, in: ZBJV 136/2000, p. 536 sv.). d) En l'occurrence, le premier juge a ajouté à la prestation de sortie du recourant au moment du mariage, fixée par la caisse de BGE 128 V 230 S. 236 pensions à 77'727 fr. 95, les intérêts jusqu'au divorce, ce qui donne un capital de 90'270 fr. 55 au 7 avril 2000. Calculée également par la caisse de pensions, la prestation de sortie du recourant au moment du divorce est de 189'649 fr. 80. A cette somme, il faut ajouter 90'293 fr., soit le montant du versement anticipé faisant l'objet d'une obligation de remboursement. Cela donne un capital de 279'942 fr. 80. Le montant de la prestation de sortie à partager est donc de 99'379 fr. 25 (279'942 fr. 80 - 180'563 fr. 55 [90'270 fr. 55 + 90'293 fr]). Comme la prestation de sortie de l'ex-épouse du recourant acquise durant le mariage s'élève à 16'251 fr. 20, la différence entre les créances des ex-époux est de 83'128 fr. 05. Partagée par la moitié, cela donne un montant à transférer de 41'564 fr.</w:t>
      </w:r>
    </w:p>
    <w:p>
      <w:r>
        <w:rPr>
          <w:b/>
        </w:rPr>
        <w:t>E. 4</w:t>
      </w:r>
    </w:p>
    <w:p>
      <w:r>
        <w:t>Le litige ayant pour objet l'octroi ou le refus de prestations d'assurance, la procédure est gratuite ( art. 134 OJ ). B., dont les droits à l'avoir de prévoyance sont directement touchés par le jugement, a qualité de partie intimée. Succombant, elle devra verser des dépens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